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0A5019F8" w:rsidR="00774195" w:rsidRPr="00987B0C" w:rsidRDefault="007E5525" w:rsidP="008B60DA">
      <w:pPr>
        <w:pStyle w:val="Zkladntext21"/>
        <w:keepNext/>
        <w:keepLines/>
        <w:tabs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>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286ED5">
        <w:rPr>
          <w:rFonts w:ascii="Abadi" w:hAnsi="Abadi"/>
          <w:b/>
          <w:bCs/>
          <w:lang w:val="sk-SK"/>
        </w:rPr>
        <w:t xml:space="preserve">KO Box </w:t>
      </w:r>
      <w:proofErr w:type="spellStart"/>
      <w:r w:rsidR="00286ED5">
        <w:rPr>
          <w:rFonts w:ascii="Abadi" w:hAnsi="Abadi"/>
          <w:b/>
          <w:bCs/>
          <w:lang w:val="sk-SK"/>
        </w:rPr>
        <w:t>Club</w:t>
      </w:r>
      <w:proofErr w:type="spellEnd"/>
      <w:r w:rsidR="00286ED5">
        <w:rPr>
          <w:rFonts w:ascii="Abadi" w:hAnsi="Abadi"/>
          <w:b/>
          <w:bCs/>
          <w:lang w:val="sk-SK"/>
        </w:rPr>
        <w:t xml:space="preserve"> Galanta</w:t>
      </w:r>
    </w:p>
    <w:p w14:paraId="378E8F2E" w14:textId="78CB7B6D" w:rsidR="00D5581B" w:rsidRPr="00987B0C" w:rsidRDefault="00D5581B" w:rsidP="008B60DA">
      <w:pPr>
        <w:keepNext/>
        <w:keepLines/>
        <w:tabs>
          <w:tab w:val="left" w:pos="-4536"/>
          <w:tab w:val="left" w:pos="-3119"/>
          <w:tab w:val="left" w:pos="2552"/>
        </w:tabs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286ED5">
        <w:rPr>
          <w:rFonts w:ascii="Abadi" w:hAnsi="Abadi"/>
          <w:sz w:val="24"/>
          <w:szCs w:val="24"/>
          <w:lang w:val="sk-SK"/>
        </w:rPr>
        <w:t>Stavbárska 1044/1, 924 01 Galanta</w:t>
      </w:r>
    </w:p>
    <w:p w14:paraId="11F6E976" w14:textId="7F310920" w:rsidR="008B60DA" w:rsidRPr="00987B0C" w:rsidRDefault="00D5581B" w:rsidP="00490782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6ED5">
        <w:rPr>
          <w:rFonts w:ascii="Abadi" w:hAnsi="Abadi"/>
          <w:lang w:val="sk-SK"/>
        </w:rPr>
        <w:t>Tomáš Kovács, viceprezident klubu</w:t>
      </w:r>
    </w:p>
    <w:p w14:paraId="68298241" w14:textId="3D5918D9" w:rsidR="00774195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IČO: 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6ED5">
        <w:rPr>
          <w:rFonts w:ascii="Abadi" w:hAnsi="Abadi"/>
          <w:lang w:val="sk-SK"/>
        </w:rPr>
        <w:t>45 014 132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BDBE8F5" w14:textId="7CDBCC11" w:rsidR="00D5581B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6ED5">
        <w:rPr>
          <w:rFonts w:ascii="Abadi" w:hAnsi="Abadi"/>
          <w:lang w:val="sk-SK"/>
        </w:rPr>
        <w:t>2022705344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19994978" w14:textId="77777777" w:rsidR="00DB64A6" w:rsidRPr="00DB64A6" w:rsidRDefault="00D5581B" w:rsidP="00DB64A6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DB64A6" w:rsidRPr="00DB64A6">
        <w:rPr>
          <w:rFonts w:ascii="Abadi" w:hAnsi="Abadi"/>
          <w:lang w:val="sk-SK"/>
        </w:rPr>
        <w:t>SK51 1100 0000 0029 4507 2264</w:t>
      </w:r>
    </w:p>
    <w:p w14:paraId="6E84E68D" w14:textId="28A42FE0" w:rsidR="00D5581B" w:rsidRPr="00987B0C" w:rsidRDefault="00E41E95" w:rsidP="00DB64A6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  </w:t>
      </w:r>
    </w:p>
    <w:p w14:paraId="05BDB847" w14:textId="308D9851" w:rsidR="00D5581B" w:rsidRPr="008B60DA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5A5340A7" w14:textId="3C1AD859" w:rsidR="00D5581B" w:rsidRPr="00987B0C" w:rsidRDefault="00D5581B" w:rsidP="008B60DA">
      <w:p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13FB2DFB" w:rsidR="00D5581B" w:rsidRPr="00987B0C" w:rsidRDefault="00D5581B" w:rsidP="008B60DA">
      <w:pPr>
        <w:pStyle w:val="Zkladntext21"/>
        <w:keepNext/>
        <w:keepLines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>Zhotoviteľ</w:t>
      </w:r>
      <w:r w:rsidRPr="00987B0C">
        <w:rPr>
          <w:rFonts w:ascii="Abadi" w:hAnsi="Abadi"/>
          <w:b/>
          <w:bCs/>
          <w:lang w:val="sk-SK"/>
        </w:rPr>
        <w:t xml:space="preserve">:    </w:t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271B914F" w:rsidR="00D5581B" w:rsidRPr="00987B0C" w:rsidRDefault="00D5581B" w:rsidP="008B60DA">
      <w:pPr>
        <w:keepNext/>
        <w:keepLines/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5AF1088B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13B61BD9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7BA9D470" w14:textId="39F66B93" w:rsidR="00704ED5" w:rsidRPr="00987B0C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Style w:val="ra"/>
          <w:rFonts w:ascii="Abadi" w:hAnsi="Abadi"/>
        </w:rPr>
        <w:t xml:space="preserve">DIČ: </w:t>
      </w:r>
      <w:r w:rsidRPr="00987B0C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</w:p>
    <w:p w14:paraId="4A6AF7EA" w14:textId="4477D413" w:rsidR="00D5581B" w:rsidRPr="00987B0C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5330B66" w14:textId="093A4C1C" w:rsidR="00D5581B" w:rsidRPr="00987B0C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72493932" w14:textId="06638C07" w:rsidR="00D5581B" w:rsidRPr="00987B0C" w:rsidRDefault="00D5581B" w:rsidP="008B60DA">
      <w:pPr>
        <w:keepNext/>
        <w:keepLines/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1EB5FBB2" w:rsidR="00D5581B" w:rsidRPr="00286ED5" w:rsidRDefault="00D5581B" w:rsidP="00286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286ED5">
        <w:rPr>
          <w:rFonts w:ascii="Abadi" w:hAnsi="Abadi"/>
          <w:lang w:val="sk-SK"/>
        </w:rPr>
        <w:t xml:space="preserve"> </w:t>
      </w:r>
      <w:r w:rsidR="008B60DA" w:rsidRPr="008B60DA">
        <w:rPr>
          <w:rFonts w:ascii="Abadi" w:hAnsi="Abadi"/>
          <w:lang w:val="sk-SK"/>
        </w:rPr>
        <w:t>„</w:t>
      </w:r>
      <w:r w:rsidR="00286ED5" w:rsidRPr="00286ED5">
        <w:rPr>
          <w:rFonts w:ascii="Abadi" w:hAnsi="Abadi"/>
          <w:lang w:val="sk-SK"/>
        </w:rPr>
        <w:t>PRESTAVBA RODINNÉHO DOMU A HOSPODÁRSKEJ BUDOVY NA MULTIFUNKČNÝ OBJEKT S UBYTOVACOU JEDNOTKOU</w:t>
      </w:r>
      <w:r w:rsidR="00C25991" w:rsidRPr="00286ED5">
        <w:rPr>
          <w:rFonts w:ascii="Abadi" w:hAnsi="Abadi"/>
          <w:lang w:val="sk-SK"/>
        </w:rPr>
        <w:t>“, miesto dodania</w:t>
      </w:r>
      <w:r w:rsidR="00DC78ED" w:rsidRPr="00286ED5">
        <w:rPr>
          <w:rFonts w:ascii="Abadi" w:hAnsi="Abadi"/>
          <w:lang w:val="sk-SK"/>
        </w:rPr>
        <w:t xml:space="preserve">: </w:t>
      </w:r>
      <w:r w:rsidR="00286ED5">
        <w:rPr>
          <w:rFonts w:ascii="Abadi" w:hAnsi="Abadi"/>
          <w:lang w:val="sk-SK"/>
        </w:rPr>
        <w:t>Matúškovo</w:t>
      </w:r>
      <w:r w:rsidR="00C25991" w:rsidRPr="00286ED5">
        <w:rPr>
          <w:rFonts w:ascii="Abadi" w:hAnsi="Abadi"/>
          <w:lang w:val="sk-SK"/>
        </w:rPr>
        <w:t>.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795AF054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E33B9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713F0FE8" w14:textId="77777777" w:rsidR="008B60DA" w:rsidRPr="00987B0C" w:rsidRDefault="008B60DA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39A4C021" w14:textId="77777777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77F31B27" w:rsidR="00D5581B" w:rsidRPr="00987B0C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ukončenie diela: </w:t>
      </w:r>
      <w:r w:rsidRPr="00915E66">
        <w:rPr>
          <w:rFonts w:ascii="Abadi" w:hAnsi="Abadi"/>
          <w:lang w:val="sk-SK"/>
        </w:rPr>
        <w:t>do</w:t>
      </w:r>
      <w:r w:rsidR="007B6F1B" w:rsidRPr="00915E66">
        <w:rPr>
          <w:rFonts w:ascii="Abadi" w:hAnsi="Abadi"/>
          <w:lang w:val="sk-SK"/>
        </w:rPr>
        <w:t xml:space="preserve"> </w:t>
      </w:r>
      <w:r w:rsidR="00286ED5" w:rsidRPr="00915E66">
        <w:rPr>
          <w:rFonts w:ascii="Abadi" w:hAnsi="Abadi"/>
          <w:lang w:val="sk-SK"/>
        </w:rPr>
        <w:t xml:space="preserve">22 </w:t>
      </w:r>
      <w:r w:rsidRPr="00915E66">
        <w:rPr>
          <w:rFonts w:ascii="Abadi" w:hAnsi="Abadi"/>
          <w:lang w:val="sk-SK"/>
        </w:rPr>
        <w:t>mesiacov od</w:t>
      </w:r>
      <w:r w:rsidRPr="00987B0C">
        <w:rPr>
          <w:rFonts w:ascii="Abadi" w:hAnsi="Abadi"/>
          <w:lang w:val="sk-SK"/>
        </w:rPr>
        <w:t xml:space="preserve"> prevzatia staveniska</w:t>
      </w:r>
    </w:p>
    <w:p w14:paraId="0847E3EB" w14:textId="77777777" w:rsidR="00D5581B" w:rsidRPr="00987B0C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353AE51" w:rsidR="00D5581B" w:rsidRPr="008B60DA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lang w:val="sk-SK"/>
        </w:rPr>
        <w:t xml:space="preserve">výsledkom procesu VO/OVS. </w:t>
      </w:r>
      <w:r w:rsidRPr="00987B0C">
        <w:rPr>
          <w:rFonts w:ascii="Abadi" w:hAnsi="Abadi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lang w:val="sk-SK"/>
        </w:rPr>
        <w:t>položkovitým</w:t>
      </w:r>
      <w:proofErr w:type="spellEnd"/>
      <w:r w:rsidRPr="00987B0C">
        <w:rPr>
          <w:rFonts w:ascii="Abadi" w:hAnsi="Abadi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lang w:val="sk-SK"/>
        </w:rPr>
        <w:t>vzišla z obchodnej verejnej súťaže a je</w:t>
      </w:r>
      <w:r w:rsidRPr="00987B0C">
        <w:rPr>
          <w:rFonts w:ascii="Abadi" w:hAnsi="Abadi"/>
          <w:lang w:val="sk-SK"/>
        </w:rPr>
        <w:t xml:space="preserve"> nasledovn</w:t>
      </w:r>
      <w:r w:rsidR="00A324C1" w:rsidRPr="00987B0C">
        <w:rPr>
          <w:rFonts w:ascii="Abadi" w:hAnsi="Abadi"/>
          <w:lang w:val="sk-SK"/>
        </w:rPr>
        <w:t>á</w:t>
      </w:r>
      <w:r w:rsidRPr="00987B0C">
        <w:rPr>
          <w:rFonts w:ascii="Abadi" w:hAnsi="Abadi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8B60DA">
      <w:pPr>
        <w:pStyle w:val="Odsekzoznamu"/>
        <w:ind w:left="426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45BAD4A9" w:rsidR="00D5581B" w:rsidRPr="00987B0C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8B60DA">
        <w:rPr>
          <w:rFonts w:ascii="Abadi" w:hAnsi="Abadi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8B60DA">
        <w:rPr>
          <w:rFonts w:ascii="Abadi" w:hAnsi="Abadi"/>
          <w:lang w:val="sk-SK"/>
        </w:rPr>
        <w:t>t</w:t>
      </w:r>
      <w:r w:rsidR="008B60DA">
        <w:rPr>
          <w:rFonts w:ascii="Abadi" w:hAnsi="Abadi"/>
          <w:lang w:val="sk-SK"/>
        </w:rPr>
        <w:t xml:space="preserve">. </w:t>
      </w:r>
      <w:r w:rsidR="001D0A89" w:rsidRPr="008B60DA">
        <w:rPr>
          <w:rFonts w:ascii="Abadi" w:hAnsi="Abadi"/>
          <w:lang w:val="sk-SK"/>
        </w:rPr>
        <w:t xml:space="preserve">j. </w:t>
      </w:r>
      <w:r w:rsidRPr="008B60DA">
        <w:rPr>
          <w:rFonts w:ascii="Abadi" w:hAnsi="Abadi"/>
          <w:lang w:val="sk-SK"/>
        </w:rPr>
        <w:t>je možná aj čiastková faktu</w:t>
      </w:r>
      <w:r w:rsidR="00900DE0" w:rsidRPr="008B60DA">
        <w:rPr>
          <w:rFonts w:ascii="Abadi" w:hAnsi="Abadi"/>
          <w:lang w:val="sk-SK"/>
        </w:rPr>
        <w:t>r</w:t>
      </w:r>
      <w:r w:rsidRPr="008B60DA">
        <w:rPr>
          <w:rFonts w:ascii="Abadi" w:hAnsi="Abadi"/>
          <w:lang w:val="sk-SK"/>
        </w:rPr>
        <w:t>ácia,</w:t>
      </w:r>
    </w:p>
    <w:p w14:paraId="3D681A4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8B60DA">
        <w:rPr>
          <w:rFonts w:ascii="Abadi" w:hAnsi="Abadi"/>
          <w:lang w:val="sk-SK"/>
        </w:rPr>
        <w:t>Splatnosť faktúr je maximálne 30 dní.</w:t>
      </w:r>
    </w:p>
    <w:p w14:paraId="32BC7E12" w14:textId="3FFC872E" w:rsidR="00D5581B" w:rsidRPr="00987B0C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 prípade dohody zmluvných strán môže byť dodávateľovi poskytnutý aj preddavok v súlade s § 19 ods. 8-10 zákona č. 523/2004 Z.</w:t>
      </w:r>
      <w:r w:rsidR="008B60DA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z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objednávateľ odmietne dielo bezdôvodne prevziať alebo podpísať protokol, alebo sa k odovzdaniu a prevzatiu diela bez vopred zaslaného </w:t>
      </w:r>
      <w:r w:rsidRPr="00987B0C">
        <w:rPr>
          <w:rFonts w:ascii="Abadi" w:hAnsi="Abadi"/>
          <w:lang w:val="sk-SK"/>
        </w:rPr>
        <w:lastRenderedPageBreak/>
        <w:t>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A583B1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Zmluvné strany sa dohodli na záručnej dobe </w:t>
      </w:r>
      <w:r w:rsidR="00DC5261" w:rsidRPr="00987B0C">
        <w:rPr>
          <w:rFonts w:ascii="Abadi" w:hAnsi="Abadi"/>
          <w:lang w:val="sk-SK"/>
        </w:rPr>
        <w:t>60</w:t>
      </w:r>
      <w:r w:rsidRPr="00987B0C">
        <w:rPr>
          <w:rFonts w:ascii="Abadi" w:hAnsi="Abadi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2ED7FC1E" w14:textId="5446ACE5" w:rsidR="00D5581B" w:rsidRPr="008B60DA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A24DB86" w14:textId="4220192F" w:rsidR="00D5581B" w:rsidRPr="00056C59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porušuje svoje povinnosti vyplývajúce z tejto zmluvy opakovane alebo úmyselne.</w:t>
      </w:r>
    </w:p>
    <w:p w14:paraId="559542CC" w14:textId="3CC99AA5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neodovzdal miesto výkonu prác v stave spôsobilom na realizáciu diela,</w:t>
      </w:r>
    </w:p>
    <w:p w14:paraId="0FD1F549" w14:textId="31D5F2B0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si nesplnil svoju povinnosť vyplývajúcu mu z článku IV. bod 3, 4 a 5 tejto zmluvy, </w:t>
      </w:r>
    </w:p>
    <w:p w14:paraId="2F9B6674" w14:textId="008FF971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2E6104B9" w:rsidR="00D5581B" w:rsidRPr="00987B0C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>Právo na náhradu škody tým nie je dotknuté.</w:t>
      </w:r>
    </w:p>
    <w:p w14:paraId="264C9EDA" w14:textId="70A08608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dôjde k ukončeniu zmluvného vzťahu z dôvodov na strane objednávateľa, má zhotoviteľ právo na zaplatenia preukázaných účelne a nevyhnutne </w:t>
      </w:r>
      <w:r w:rsidRPr="00987B0C">
        <w:rPr>
          <w:rFonts w:ascii="Abadi" w:hAnsi="Abadi"/>
          <w:lang w:val="sk-SK"/>
        </w:rPr>
        <w:lastRenderedPageBreak/>
        <w:t>vynaložených nákladov spojených s vykonanými prácami na zhotovovaní diela do času ukončenia zmluvného vzťahu.</w:t>
      </w:r>
    </w:p>
    <w:p w14:paraId="6476C951" w14:textId="24AB57D0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08C955D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87B0C">
        <w:rPr>
          <w:rFonts w:ascii="Abadi" w:hAnsi="Abadi"/>
          <w:lang w:val="sk-SK"/>
        </w:rPr>
        <w:t>2</w:t>
      </w:r>
      <w:r w:rsidRPr="00987B0C">
        <w:rPr>
          <w:rFonts w:ascii="Abadi" w:hAnsi="Abadi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BC2F5F6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nadobudne platnosť </w:t>
      </w:r>
      <w:r w:rsidR="00342504" w:rsidRPr="00987B0C">
        <w:rPr>
          <w:rFonts w:ascii="Abadi" w:hAnsi="Abadi"/>
          <w:lang w:val="sk-SK"/>
        </w:rPr>
        <w:t xml:space="preserve">a účinnosť </w:t>
      </w:r>
      <w:r w:rsidRPr="00987B0C">
        <w:rPr>
          <w:rFonts w:ascii="Abadi" w:hAnsi="Abadi"/>
          <w:lang w:val="sk-SK"/>
        </w:rPr>
        <w:t xml:space="preserve">dňom </w:t>
      </w:r>
      <w:r w:rsidR="00D165FE" w:rsidRPr="00987B0C">
        <w:rPr>
          <w:rFonts w:ascii="Abadi" w:hAnsi="Abadi"/>
          <w:lang w:val="sk-SK"/>
        </w:rPr>
        <w:t>podpisu poslednej zmluvnej strany.</w:t>
      </w:r>
    </w:p>
    <w:p w14:paraId="0538B0A5" w14:textId="098F1EBF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350C19EC" w14:textId="0D7A6AB2" w:rsidR="00104C16" w:rsidRPr="00056C59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056C59">
        <w:rPr>
          <w:rFonts w:ascii="Abadi" w:hAnsi="Abadi"/>
          <w:lang w:val="sk-SK"/>
        </w:rPr>
        <w:t> </w:t>
      </w:r>
      <w:r w:rsidR="00286ED5">
        <w:rPr>
          <w:rFonts w:ascii="Abadi" w:hAnsi="Abadi"/>
          <w:lang w:val="sk-SK"/>
        </w:rPr>
        <w:t>Galante</w:t>
      </w:r>
      <w:r w:rsidR="00056C59">
        <w:rPr>
          <w:rFonts w:ascii="Abadi" w:hAnsi="Abadi"/>
          <w:lang w:val="sk-SK"/>
        </w:rPr>
        <w:t>,</w:t>
      </w:r>
      <w:r w:rsidRPr="00987B0C">
        <w:rPr>
          <w:rFonts w:ascii="Abadi" w:hAnsi="Abadi"/>
          <w:lang w:val="sk-SK"/>
        </w:rPr>
        <w:t xml:space="preserve"> dňa</w:t>
      </w:r>
      <w:r w:rsidR="00056C59">
        <w:rPr>
          <w:rFonts w:ascii="Abadi" w:hAnsi="Abadi"/>
          <w:lang w:val="sk-SK"/>
        </w:rPr>
        <w:t xml:space="preserve"> ......................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056C59">
        <w:rPr>
          <w:rFonts w:ascii="Abadi" w:hAnsi="Abadi"/>
          <w:lang w:val="sk-SK"/>
        </w:rPr>
        <w:t>V..................................., dňa ..........................</w:t>
      </w:r>
      <w:r w:rsidR="002B25C2" w:rsidRPr="00987B0C">
        <w:rPr>
          <w:rFonts w:ascii="Abadi" w:hAnsi="Abadi"/>
          <w:lang w:val="sk-SK"/>
        </w:rPr>
        <w:tab/>
      </w:r>
    </w:p>
    <w:p w14:paraId="084C3C24" w14:textId="0984DF8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01753C4E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</w:t>
      </w:r>
      <w:r w:rsidR="00056C59">
        <w:rPr>
          <w:rFonts w:ascii="Abadi" w:hAnsi="Abadi"/>
          <w:lang w:val="sk-SK"/>
        </w:rPr>
        <w:t>......................</w:t>
      </w:r>
      <w:r w:rsidR="00601820" w:rsidRPr="00987B0C">
        <w:rPr>
          <w:rFonts w:ascii="Abadi" w:hAnsi="Abadi"/>
          <w:lang w:val="sk-SK"/>
        </w:rPr>
        <w:t>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</w:t>
      </w:r>
      <w:r w:rsidR="00056C59">
        <w:rPr>
          <w:rFonts w:ascii="Abadi" w:hAnsi="Abadi"/>
          <w:lang w:val="sk-SK"/>
        </w:rPr>
        <w:t>........</w:t>
      </w:r>
      <w:r w:rsidRPr="00987B0C">
        <w:rPr>
          <w:rFonts w:ascii="Abadi" w:hAnsi="Abadi"/>
          <w:lang w:val="sk-SK"/>
        </w:rPr>
        <w:t>......................................</w:t>
      </w:r>
    </w:p>
    <w:p w14:paraId="1005CED4" w14:textId="00D64FCB" w:rsidR="00056C59" w:rsidRDefault="00286ED5" w:rsidP="00342504">
      <w:pPr>
        <w:pStyle w:val="Zkladntext"/>
        <w:rPr>
          <w:rFonts w:ascii="Abadi" w:hAnsi="Abadi"/>
          <w:b/>
          <w:bCs/>
          <w:lang w:val="sk-SK"/>
        </w:rPr>
      </w:pPr>
      <w:r>
        <w:rPr>
          <w:rFonts w:ascii="Abadi" w:hAnsi="Abadi"/>
          <w:b/>
          <w:bCs/>
          <w:lang w:val="sk-SK"/>
        </w:rPr>
        <w:t>Tomáš Kovács</w:t>
      </w:r>
    </w:p>
    <w:p w14:paraId="7F26E4E3" w14:textId="51E10F7D" w:rsidR="00056C59" w:rsidRPr="00056C59" w:rsidRDefault="00286ED5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Viceprezident klubu</w:t>
      </w:r>
      <w:r w:rsidR="00056C59" w:rsidRPr="00056C59">
        <w:rPr>
          <w:rFonts w:ascii="Abadi" w:hAnsi="Abadi"/>
          <w:lang w:val="sk-SK"/>
        </w:rPr>
        <w:t xml:space="preserve"> </w:t>
      </w:r>
    </w:p>
    <w:p w14:paraId="386CAFE7" w14:textId="16A8E5A1" w:rsidR="00342504" w:rsidRPr="00056C59" w:rsidRDefault="00286ED5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 xml:space="preserve">KO Box </w:t>
      </w:r>
      <w:proofErr w:type="spellStart"/>
      <w:r>
        <w:rPr>
          <w:rFonts w:ascii="Abadi" w:hAnsi="Abadi"/>
          <w:lang w:val="sk-SK"/>
        </w:rPr>
        <w:t>Club</w:t>
      </w:r>
      <w:proofErr w:type="spellEnd"/>
      <w:r>
        <w:rPr>
          <w:rFonts w:ascii="Abadi" w:hAnsi="Abadi"/>
          <w:lang w:val="sk-SK"/>
        </w:rPr>
        <w:t xml:space="preserve"> Galanta</w:t>
      </w:r>
      <w:r w:rsidR="00E85363" w:rsidRPr="00056C59">
        <w:rPr>
          <w:rFonts w:ascii="Abadi" w:hAnsi="Abadi"/>
          <w:lang w:val="sk-SK"/>
        </w:rPr>
        <w:tab/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8605" w14:textId="77777777" w:rsidR="00680936" w:rsidRDefault="00680936" w:rsidP="00062F04">
      <w:r>
        <w:separator/>
      </w:r>
    </w:p>
  </w:endnote>
  <w:endnote w:type="continuationSeparator" w:id="0">
    <w:p w14:paraId="12865194" w14:textId="77777777" w:rsidR="00680936" w:rsidRDefault="00680936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68D0" w14:textId="77777777" w:rsidR="00680936" w:rsidRDefault="00680936" w:rsidP="00062F04">
      <w:r>
        <w:separator/>
      </w:r>
    </w:p>
  </w:footnote>
  <w:footnote w:type="continuationSeparator" w:id="0">
    <w:p w14:paraId="72CAD920" w14:textId="77777777" w:rsidR="00680936" w:rsidRDefault="00680936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9"/>
  </w:num>
  <w:num w:numId="2" w16cid:durableId="1253079620">
    <w:abstractNumId w:val="25"/>
  </w:num>
  <w:num w:numId="3" w16cid:durableId="170071250">
    <w:abstractNumId w:val="39"/>
  </w:num>
  <w:num w:numId="4" w16cid:durableId="594019134">
    <w:abstractNumId w:val="12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33"/>
  </w:num>
  <w:num w:numId="8" w16cid:durableId="1226261728">
    <w:abstractNumId w:val="28"/>
  </w:num>
  <w:num w:numId="9" w16cid:durableId="1515804384">
    <w:abstractNumId w:val="8"/>
  </w:num>
  <w:num w:numId="10" w16cid:durableId="190806634">
    <w:abstractNumId w:val="34"/>
  </w:num>
  <w:num w:numId="11" w16cid:durableId="1249191786">
    <w:abstractNumId w:val="21"/>
  </w:num>
  <w:num w:numId="12" w16cid:durableId="472453885">
    <w:abstractNumId w:val="4"/>
  </w:num>
  <w:num w:numId="13" w16cid:durableId="1483546837">
    <w:abstractNumId w:val="16"/>
  </w:num>
  <w:num w:numId="14" w16cid:durableId="143011853">
    <w:abstractNumId w:val="32"/>
  </w:num>
  <w:num w:numId="15" w16cid:durableId="1091005532">
    <w:abstractNumId w:val="19"/>
  </w:num>
  <w:num w:numId="16" w16cid:durableId="1625117201">
    <w:abstractNumId w:val="30"/>
  </w:num>
  <w:num w:numId="17" w16cid:durableId="1943344548">
    <w:abstractNumId w:val="41"/>
  </w:num>
  <w:num w:numId="18" w16cid:durableId="783814598">
    <w:abstractNumId w:val="18"/>
  </w:num>
  <w:num w:numId="19" w16cid:durableId="1601833065">
    <w:abstractNumId w:val="31"/>
  </w:num>
  <w:num w:numId="20" w16cid:durableId="938831669">
    <w:abstractNumId w:val="27"/>
  </w:num>
  <w:num w:numId="21" w16cid:durableId="1059399440">
    <w:abstractNumId w:val="2"/>
  </w:num>
  <w:num w:numId="22" w16cid:durableId="1632247949">
    <w:abstractNumId w:val="40"/>
  </w:num>
  <w:num w:numId="23" w16cid:durableId="1238324117">
    <w:abstractNumId w:val="43"/>
  </w:num>
  <w:num w:numId="24" w16cid:durableId="1022324171">
    <w:abstractNumId w:val="10"/>
  </w:num>
  <w:num w:numId="25" w16cid:durableId="1212154504">
    <w:abstractNumId w:val="23"/>
  </w:num>
  <w:num w:numId="26" w16cid:durableId="1774663372">
    <w:abstractNumId w:val="42"/>
  </w:num>
  <w:num w:numId="27" w16cid:durableId="1717314695">
    <w:abstractNumId w:val="37"/>
  </w:num>
  <w:num w:numId="28" w16cid:durableId="718211607">
    <w:abstractNumId w:val="35"/>
  </w:num>
  <w:num w:numId="29" w16cid:durableId="445273653">
    <w:abstractNumId w:val="20"/>
  </w:num>
  <w:num w:numId="30" w16cid:durableId="658847737">
    <w:abstractNumId w:val="36"/>
  </w:num>
  <w:num w:numId="31" w16cid:durableId="1888879046">
    <w:abstractNumId w:val="11"/>
  </w:num>
  <w:num w:numId="32" w16cid:durableId="1863203387">
    <w:abstractNumId w:val="14"/>
  </w:num>
  <w:num w:numId="33" w16cid:durableId="1576356554">
    <w:abstractNumId w:val="29"/>
  </w:num>
  <w:num w:numId="34" w16cid:durableId="1626737313">
    <w:abstractNumId w:val="0"/>
  </w:num>
  <w:num w:numId="35" w16cid:durableId="1897889164">
    <w:abstractNumId w:val="44"/>
  </w:num>
  <w:num w:numId="36" w16cid:durableId="581526272">
    <w:abstractNumId w:val="24"/>
  </w:num>
  <w:num w:numId="37" w16cid:durableId="1130592307">
    <w:abstractNumId w:val="17"/>
  </w:num>
  <w:num w:numId="38" w16cid:durableId="843662974">
    <w:abstractNumId w:val="26"/>
  </w:num>
  <w:num w:numId="39" w16cid:durableId="425930475">
    <w:abstractNumId w:val="7"/>
  </w:num>
  <w:num w:numId="40" w16cid:durableId="984966825">
    <w:abstractNumId w:val="15"/>
  </w:num>
  <w:num w:numId="41" w16cid:durableId="1835606499">
    <w:abstractNumId w:val="22"/>
  </w:num>
  <w:num w:numId="42" w16cid:durableId="2054189587">
    <w:abstractNumId w:val="6"/>
  </w:num>
  <w:num w:numId="43" w16cid:durableId="1633562282">
    <w:abstractNumId w:val="13"/>
  </w:num>
  <w:num w:numId="44" w16cid:durableId="604074515">
    <w:abstractNumId w:val="5"/>
  </w:num>
  <w:num w:numId="45" w16cid:durableId="9042231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86ED5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47426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53404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9078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E1708"/>
    <w:rsid w:val="004E2FEA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0936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9D3"/>
    <w:rsid w:val="00913943"/>
    <w:rsid w:val="00915E66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3737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B64A6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286ED5"/>
    <w:pPr>
      <w:spacing w:after="120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6ED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Mária Schutová</cp:lastModifiedBy>
  <cp:revision>5</cp:revision>
  <cp:lastPrinted>2017-06-06T08:31:00Z</cp:lastPrinted>
  <dcterms:created xsi:type="dcterms:W3CDTF">2026-02-11T04:56:00Z</dcterms:created>
  <dcterms:modified xsi:type="dcterms:W3CDTF">2026-02-12T17:09:00Z</dcterms:modified>
</cp:coreProperties>
</file>